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微软雅黑" w:eastAsia="黑体"/>
          <w:b/>
          <w:color w:val="333333"/>
          <w:sz w:val="44"/>
          <w:szCs w:val="44"/>
          <w:shd w:val="clear" w:color="auto" w:fill="F7F7F7"/>
        </w:rPr>
      </w:pPr>
      <w:r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</w:rPr>
        <w:t>际华三五零二职业装</w:t>
      </w:r>
      <w:r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  <w:lang w:eastAsia="zh-CN"/>
        </w:rPr>
        <w:t>有限公司</w:t>
      </w:r>
      <w:r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</w:rPr>
        <w:t>头盔试制车间工房</w:t>
      </w:r>
      <w:r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  <w:lang w:eastAsia="zh-CN"/>
        </w:rPr>
        <w:t>扩建工程</w:t>
      </w:r>
      <w:r>
        <w:rPr>
          <w:rFonts w:hint="eastAsia" w:ascii="黑体" w:hAnsi="微软雅黑" w:eastAsia="黑体"/>
          <w:b/>
          <w:color w:val="333333"/>
          <w:sz w:val="44"/>
          <w:szCs w:val="44"/>
          <w:shd w:val="clear" w:color="auto" w:fill="F7F7F7"/>
        </w:rPr>
        <w:t>工程招标结果公告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eastAsia="黑体" w:cs="宋体" w:hAnsiTheme="minorEastAsia"/>
          <w:color w:val="444444"/>
          <w:kern w:val="0"/>
          <w:sz w:val="32"/>
          <w:szCs w:val="32"/>
        </w:rPr>
        <w:t>具体如下</w:t>
      </w: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：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ascii="黑体" w:hAnsi="微软雅黑" w:eastAsia="黑体"/>
          <w:color w:val="333333"/>
          <w:sz w:val="28"/>
          <w:szCs w:val="28"/>
          <w:shd w:val="clear" w:color="auto" w:fill="F7F7F7"/>
        </w:rPr>
      </w:pPr>
      <w:r>
        <w:rPr>
          <w:rFonts w:hint="eastAsia" w:ascii="黑体" w:hAnsi="微软雅黑" w:eastAsia="黑体"/>
          <w:color w:val="333333"/>
          <w:sz w:val="28"/>
          <w:szCs w:val="28"/>
          <w:shd w:val="clear" w:color="auto" w:fill="F7F7F7"/>
        </w:rPr>
        <w:t>际华3502公司</w:t>
      </w:r>
      <w:r>
        <w:rPr>
          <w:rFonts w:hint="eastAsia" w:ascii="黑体" w:hAnsi="微软雅黑" w:eastAsia="黑体"/>
          <w:color w:val="333333"/>
          <w:sz w:val="28"/>
          <w:szCs w:val="28"/>
          <w:shd w:val="clear" w:color="auto" w:fill="F7F7F7"/>
        </w:rPr>
        <w:t>头盔试制车间工房</w:t>
      </w:r>
      <w:r>
        <w:rPr>
          <w:rFonts w:hint="eastAsia" w:ascii="黑体" w:hAnsi="微软雅黑" w:eastAsia="黑体"/>
          <w:color w:val="333333"/>
          <w:sz w:val="28"/>
          <w:szCs w:val="28"/>
          <w:shd w:val="clear" w:color="auto" w:fill="F7F7F7"/>
          <w:lang w:eastAsia="zh-CN"/>
        </w:rPr>
        <w:t>扩建工程</w:t>
      </w:r>
      <w:r>
        <w:rPr>
          <w:rFonts w:hint="eastAsia" w:ascii="黑体" w:hAnsi="微软雅黑" w:eastAsia="黑体"/>
          <w:color w:val="333333"/>
          <w:sz w:val="28"/>
          <w:szCs w:val="28"/>
          <w:shd w:val="clear" w:color="auto" w:fill="F7F7F7"/>
        </w:rPr>
        <w:t>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20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-3502-0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065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4"/>
        <w:tblW w:w="8429" w:type="dxa"/>
        <w:tblInd w:w="-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355"/>
        <w:gridCol w:w="4095"/>
        <w:gridCol w:w="7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Arial" w:hAnsi="Arial" w:eastAsia="宋体" w:cs="Arial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河北皓皙装饰工程有限公司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宋体" w:eastAsia="黑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>
        <w:rPr>
          <w:rFonts w:hint="eastAsia" w:asci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45C62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24F05DC"/>
    <w:rsid w:val="3CA13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qFormat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</Words>
  <Characters>129</Characters>
  <Lines>1</Lines>
  <Paragraphs>1</Paragraphs>
  <ScaleCrop>false</ScaleCrop>
  <LinksUpToDate>false</LinksUpToDate>
  <CharactersWithSpaces>150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2020-04-13T03:19:45Z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