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现将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际华3502公司翻砂工房二期改造工程招标结果进行公示，具体如下：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  <w:lang w:eastAsia="zh-CN"/>
        </w:rPr>
        <w:t>际华3502公司翻砂工房二期改造工程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  <w:bookmarkStart w:id="0" w:name="_GoBack"/>
      <w:bookmarkEnd w:id="0"/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-3502-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0011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15"/>
        <w:tblW w:w="8399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237"/>
        <w:gridCol w:w="4500"/>
        <w:gridCol w:w="15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中标供应商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河北皓皙装饰工程有限公司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11507C58"/>
    <w:rsid w:val="3471731F"/>
    <w:rsid w:val="5FAA64A7"/>
    <w:rsid w:val="636139E7"/>
    <w:rsid w:val="643A6A3B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semiHidden="0" w:name="HTML Code"/>
    <w:lsdException w:qFormat="1" w:uiPriority="99" w:semiHidden="0" w:name="HTML Definition"/>
    <w:lsdException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uiPriority w:val="99"/>
    <w:rPr>
      <w:color w:val="44444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12">
    <w:name w:val="HTML Code"/>
    <w:basedOn w:val="6"/>
    <w:unhideWhenUsed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unhideWhenUsed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3"/>
    <w:semiHidden/>
    <w:qFormat/>
    <w:uiPriority w:val="99"/>
  </w:style>
  <w:style w:type="character" w:customStyle="1" w:styleId="18">
    <w:name w:val="hover"/>
    <w:basedOn w:val="6"/>
    <w:uiPriority w:val="0"/>
  </w:style>
  <w:style w:type="character" w:customStyle="1" w:styleId="19">
    <w:name w:val="gb-jt"/>
    <w:basedOn w:val="6"/>
    <w:uiPriority w:val="0"/>
  </w:style>
  <w:style w:type="character" w:customStyle="1" w:styleId="20">
    <w:name w:val="ti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2021-01-10T10:04:24Z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