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新疆际华七五五五职业装有限公司产品发运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2023-7555-0342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4"/>
        <w:tblpPr w:leftFromText="180" w:rightFromText="180" w:vertAnchor="text" w:horzAnchor="page" w:tblpX="2160" w:tblpY="291"/>
        <w:tblOverlap w:val="never"/>
        <w:tblW w:w="74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600"/>
        <w:gridCol w:w="1688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lang w:eastAsia="zh-CN"/>
              </w:rPr>
              <w:t>某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lang w:eastAsia="zh-CN"/>
              </w:rPr>
              <w:t>产品发运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7F7F7"/>
              </w:rPr>
              <w:t>北京达凯捷运输有限公司</w:t>
            </w:r>
          </w:p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7CF4316"/>
    <w:rsid w:val="19A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2023-11-03T04:26:54Z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019728E55EBD45F1AB10DFB24628BF97_12</vt:lpwstr>
  </property>
</Properties>
</file>